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版本号：JHZY-ZB-2025-00420250425001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陕西省2025年生态环境执法大练兵活动项目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JHZY-ZB-2025-004</w:t>
      </w:r>
      <w:r>
        <w:br/>
      </w:r>
      <w:r>
        <w:br/>
      </w:r>
      <w:r>
        <w:br/>
      </w:r>
    </w:p>
    <w:p>
      <w:pPr>
        <w:pStyle w:val="null3"/>
        <w:jc w:val="center"/>
        <w:outlineLvl w:val="2"/>
      </w:pPr>
      <w:r>
        <w:rPr>
          <w:rFonts w:ascii="仿宋_GB2312" w:hAnsi="仿宋_GB2312" w:cs="仿宋_GB2312" w:eastAsia="仿宋_GB2312"/>
          <w:sz w:val="28"/>
          <w:b/>
        </w:rPr>
        <w:t>陕西省生态环境执法总队</w:t>
      </w:r>
    </w:p>
    <w:p>
      <w:pPr>
        <w:pStyle w:val="null3"/>
        <w:jc w:val="center"/>
        <w:outlineLvl w:val="2"/>
      </w:pPr>
      <w:r>
        <w:rPr>
          <w:rFonts w:ascii="仿宋_GB2312" w:hAnsi="仿宋_GB2312" w:cs="仿宋_GB2312" w:eastAsia="仿宋_GB2312"/>
          <w:sz w:val="28"/>
          <w:b/>
        </w:rPr>
        <w:t>陕西泾河泽悦项目管理有限公司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2025年05月07日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陕西泾河泽悦项目管理有限公司</w:t>
      </w:r>
      <w:r>
        <w:rPr>
          <w:rFonts w:ascii="仿宋_GB2312" w:hAnsi="仿宋_GB2312" w:cs="仿宋_GB2312" w:eastAsia="仿宋_GB2312"/>
        </w:rPr>
        <w:t>（以下简称“代理机构”）受</w:t>
      </w:r>
      <w:r>
        <w:rPr>
          <w:rFonts w:ascii="仿宋_GB2312" w:hAnsi="仿宋_GB2312" w:cs="仿宋_GB2312" w:eastAsia="仿宋_GB2312"/>
        </w:rPr>
        <w:t>陕西省生态环境执法总队</w:t>
      </w:r>
      <w:r>
        <w:rPr>
          <w:rFonts w:ascii="仿宋_GB2312" w:hAnsi="仿宋_GB2312" w:cs="仿宋_GB2312" w:eastAsia="仿宋_GB2312"/>
        </w:rPr>
        <w:t>委托，拟对</w:t>
      </w:r>
      <w:r>
        <w:rPr>
          <w:rFonts w:ascii="仿宋_GB2312" w:hAnsi="仿宋_GB2312" w:cs="仿宋_GB2312" w:eastAsia="仿宋_GB2312"/>
        </w:rPr>
        <w:t>陕西省2025年生态环境执法大练兵活动项目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JHZY-ZB-2025-004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陕西省2025年生态环境执法大练兵活动项目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采购包1生态环境执法办案业务能力提升技术支持服务 采购包2生态环境执法大练兵</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采购包2（包2生态环境执法大练兵）：属于专门面向中小企业采购。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1、法定代表人身份证明/法定代表人授权书：法定代表人授权书（附法定代表人、被授权人身份证复印件）；法定代表人直接参加磋商，须提供法定代表人身份证明</w:t>
      </w:r>
    </w:p>
    <w:p>
      <w:pPr>
        <w:pStyle w:val="null3"/>
      </w:pPr>
      <w:r>
        <w:rPr>
          <w:rFonts w:ascii="仿宋_GB2312" w:hAnsi="仿宋_GB2312" w:cs="仿宋_GB2312" w:eastAsia="仿宋_GB2312"/>
        </w:rPr>
        <w:t>2、信用记录：供应商未被“信用中国”网站（www.creditchina.gov.cn）列入重大税收违法失信主体；未被“中国执行信息公开网”网站（https://zxgk.court.gov.cn/）列入失信被执行人；未被中国政府采购网（www.ccgp.gov.cn）列入政府采购严重违法失信行为记录名单；（资格审查环节查询相关信用记录，对列入失信被执行人、重大税收违法失信主体、政府采购严重违法失信行为记录名单及其他不符合《中华人民共和国政府采购法》第二十二条规定的供应商，采购代理机构将拒绝其参与政府采购活动，查询结果以电子或纸质方式留存）</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1、法定代表人身份证明/法定代表人授权书：法定代表人授权书（附法定代表人、被授权人身份证复印件）；法定代表人直接参加磋商，须提供法定代表人身份证明；</w:t>
      </w:r>
    </w:p>
    <w:p>
      <w:pPr>
        <w:pStyle w:val="null3"/>
      </w:pPr>
      <w:r>
        <w:rPr>
          <w:rFonts w:ascii="仿宋_GB2312" w:hAnsi="仿宋_GB2312" w:cs="仿宋_GB2312" w:eastAsia="仿宋_GB2312"/>
        </w:rPr>
        <w:t>2、信用记录：供应商未被“信用中国”网站（www.creditchina.gov.cn）列入重大税收违法失信主体；未被“中国执行信息公开网”网站（https://zxgk.court.gov.cn/）列入失信被执行人；未被中国政府采购网（www.ccgp.gov.cn）列入政府采购严重违法失信行为记录名单；（资格审查环节查询相关信用记录，对列入失信被执行人、重大税收违法失信主体、政府采购严重违法失信行为记录名单及其他不符合《中华人民共和国政府采购法》第二十二条规定的供应商，采购代理机构将拒绝其参与政府采购活动，查询结果以电子或纸质方式留存）</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陕西省生态环境执法总队</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西安市西影路106号陕西环保综合办公大楼11楼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胡老师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029-89137009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陕西泾河泽悦项目管理有限公司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陕西省西安市未央区北二环华帝金座A座903室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刘昕娅、李江东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029-68656808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p>
          <w:p>
            <w:pPr>
              <w:pStyle w:val="null3"/>
            </w:pPr>
            <w:r>
              <w:rPr>
                <w:rFonts w:ascii="仿宋_GB2312" w:hAnsi="仿宋_GB2312" w:cs="仿宋_GB2312" w:eastAsia="仿宋_GB2312"/>
              </w:rPr>
              <w:t>采购包2：1,400,000.00元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本采购包履约保证金为合同金额的5.0%</w:t>
            </w:r>
          </w:p>
          <w:p>
            <w:pPr>
              <w:pStyle w:val="null3"/>
            </w:pPr>
            <w:r>
              <w:rPr>
                <w:rFonts w:ascii="仿宋_GB2312" w:hAnsi="仿宋_GB2312" w:cs="仿宋_GB2312" w:eastAsia="仿宋_GB2312"/>
              </w:rPr>
              <w:t>说明：自成交通知书发放之日起7个工作日内缴纳履约保证金</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改革委员会办公厅颁发的《关于招标代理服务收费有关问题的通知》（发改办价格[2003]857号）的有关规定按标准收费执行， 成交单位在领取成交通知书前，须向采购代理机构一次性支付招标代理服务费。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陕西省生态环境执法总队</w:t>
      </w:r>
      <w:r>
        <w:rPr>
          <w:rFonts w:ascii="仿宋_GB2312" w:hAnsi="仿宋_GB2312" w:cs="仿宋_GB2312" w:eastAsia="仿宋_GB2312"/>
        </w:rPr>
        <w:t>和</w:t>
      </w:r>
      <w:r>
        <w:rPr>
          <w:rFonts w:ascii="仿宋_GB2312" w:hAnsi="仿宋_GB2312" w:cs="仿宋_GB2312" w:eastAsia="仿宋_GB2312"/>
        </w:rPr>
        <w:t>陕西泾河泽悦项目管理有限公司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陕西省生态环境执法总队</w:t>
      </w:r>
      <w:r>
        <w:rPr>
          <w:rFonts w:ascii="仿宋_GB2312" w:hAnsi="仿宋_GB2312" w:cs="仿宋_GB2312" w:eastAsia="仿宋_GB2312"/>
        </w:rPr>
        <w:t>负责解释。除上述磋商文件内容，其他内容由</w:t>
      </w:r>
      <w:r>
        <w:rPr>
          <w:rFonts w:ascii="仿宋_GB2312" w:hAnsi="仿宋_GB2312" w:cs="仿宋_GB2312" w:eastAsia="仿宋_GB2312"/>
        </w:rPr>
        <w:t>陕西泾河泽悦项目管理有限公司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陕西省生态环境执法总队</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陕西泾河泽悦项目管理有限公司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详见合同附件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详见合同附件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陕西泾河泽悦项目管理有限公司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陕西泾河泽悦项目管理有限公司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陕西泾河泽悦项目管理有限公司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联系人：刘昕娅、李江东</w:t>
      </w:r>
    </w:p>
    <w:p>
      <w:pPr>
        <w:pStyle w:val="null3"/>
      </w:pPr>
      <w:r>
        <w:rPr>
          <w:rFonts w:ascii="仿宋_GB2312" w:hAnsi="仿宋_GB2312" w:cs="仿宋_GB2312" w:eastAsia="仿宋_GB2312"/>
        </w:rPr>
        <w:t>联系电话：029-68656808</w:t>
      </w:r>
    </w:p>
    <w:p>
      <w:pPr>
        <w:pStyle w:val="null3"/>
      </w:pPr>
      <w:r>
        <w:rPr>
          <w:rFonts w:ascii="仿宋_GB2312" w:hAnsi="仿宋_GB2312" w:cs="仿宋_GB2312" w:eastAsia="仿宋_GB2312"/>
        </w:rPr>
        <w:t>地址：陕西省西安市未央区北二环华帝金座A座903室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陕西省2025年生态环境执法大练兵活动项目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生态环境执法办案业务能力提升技术支持服务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1,400,000.00</w:t>
      </w:r>
    </w:p>
    <w:p>
      <w:pPr>
        <w:pStyle w:val="null3"/>
      </w:pPr>
      <w:r>
        <w:rPr>
          <w:rFonts w:ascii="仿宋_GB2312" w:hAnsi="仿宋_GB2312" w:cs="仿宋_GB2312" w:eastAsia="仿宋_GB2312"/>
        </w:rPr>
        <w:t>采购包最高限价（元）: 1,400,000.00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生态环境执法大练兵</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1,400,000.00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标的名称：生态环境执法办案业务能力提升技术支持服务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18"/>
                <w:b/>
              </w:rPr>
              <w:t>项目概况：</w:t>
            </w:r>
            <w:r>
              <w:rPr>
                <w:rFonts w:ascii="仿宋_GB2312" w:hAnsi="仿宋_GB2312" w:cs="仿宋_GB2312" w:eastAsia="仿宋_GB2312"/>
                <w:sz w:val="18"/>
              </w:rPr>
              <w:t>基于依法行政的要求，以提升生态环境行政执法质量为目标，开展陕西省生态环境执法办案质量评估，形成1份质量评估报告。通过本项目实施帮助生态环境执法机构提升案件办理质量。</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18"/>
              </w:rPr>
              <w:t>工作内容：开展办案质量评估。从合法性角度开展陕西省生态环境执法办案质量评估，形成质量评估报告，加强对案件办理的技术指导。</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18"/>
              </w:rPr>
              <w:t>技术要求：根据陕西省生态环境厅工作要求，开展生态环境执法办案质量分析。通过抽取陕西省典型市（县）的一般行政处罚类和配套办法类案卷，抽取范围不少于10个市、29个县（区）、47个个人，约240份案卷，以点带面地了解生态环境执法办案能力。质量分析的角度需围绕案件办理中的主要实体和程序问题展开，形成重大问题清单，并提供相关工作建议。</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18"/>
              </w:rPr>
              <w:t>人员要求：</w:t>
            </w:r>
          </w:p>
          <w:p>
            <w:pPr>
              <w:pStyle w:val="null3"/>
              <w:ind w:firstLine="720"/>
              <w:jc w:val="both"/>
            </w:pPr>
            <w:r>
              <w:rPr>
                <w:rFonts w:ascii="仿宋_GB2312" w:hAnsi="仿宋_GB2312" w:cs="仿宋_GB2312" w:eastAsia="仿宋_GB2312"/>
                <w:sz w:val="18"/>
              </w:rPr>
              <w:t>1.提供本项目团队人员的组成清单，包括但不限于工作年限、资格证书和项目经历。</w:t>
            </w:r>
          </w:p>
          <w:p>
            <w:pPr>
              <w:pStyle w:val="null3"/>
              <w:ind w:firstLine="720"/>
              <w:jc w:val="both"/>
            </w:pPr>
            <w:r>
              <w:rPr>
                <w:rFonts w:ascii="仿宋_GB2312" w:hAnsi="仿宋_GB2312" w:cs="仿宋_GB2312" w:eastAsia="仿宋_GB2312"/>
                <w:sz w:val="18"/>
              </w:rPr>
              <w:t>2.项目负责人需具备行政执法研究工作相关的类似经验，项目团队应不少于4人。</w:t>
            </w:r>
          </w:p>
          <w:p>
            <w:pPr>
              <w:pStyle w:val="null3"/>
              <w:ind w:firstLine="720"/>
              <w:jc w:val="both"/>
            </w:pPr>
            <w:r>
              <w:rPr>
                <w:rFonts w:ascii="仿宋_GB2312" w:hAnsi="仿宋_GB2312" w:cs="仿宋_GB2312" w:eastAsia="仿宋_GB2312"/>
                <w:sz w:val="18"/>
              </w:rPr>
              <w:t>3.团队人员从事过生态环境相关工作，具有环境管理或执法经验。</w:t>
            </w:r>
          </w:p>
          <w:p>
            <w:pPr>
              <w:pStyle w:val="null3"/>
              <w:ind w:firstLine="720"/>
              <w:jc w:val="both"/>
            </w:pPr>
            <w:r>
              <w:rPr>
                <w:rFonts w:ascii="仿宋_GB2312" w:hAnsi="仿宋_GB2312" w:cs="仿宋_GB2312" w:eastAsia="仿宋_GB2312"/>
                <w:sz w:val="18"/>
              </w:rPr>
              <w:t>4.项目负责人未经采购单位方书面许可，项目负责人不得变更。</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18"/>
              </w:rPr>
              <w:t>项目周期及时间节点要求：自合同约定之日5个月内提交项目成果。</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both"/>
            </w:pPr>
            <w:r>
              <w:rPr>
                <w:rFonts w:ascii="仿宋_GB2312" w:hAnsi="仿宋_GB2312" w:cs="仿宋_GB2312" w:eastAsia="仿宋_GB2312"/>
                <w:sz w:val="18"/>
              </w:rPr>
              <w:t>成果要求：办案质量评估报告。</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jc w:val="both"/>
            </w:pPr>
            <w:r>
              <w:rPr>
                <w:rFonts w:ascii="仿宋_GB2312" w:hAnsi="仿宋_GB2312" w:cs="仿宋_GB2312" w:eastAsia="仿宋_GB2312"/>
                <w:sz w:val="18"/>
              </w:rPr>
              <w:t>验收要求：根据采购单位相关要求进行验收。</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标的名称：生态环境执法大练兵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75"/>
              <w:ind w:left="615"/>
              <w:jc w:val="left"/>
            </w:pPr>
            <w:r>
              <w:rPr>
                <w:rFonts w:ascii="仿宋_GB2312" w:hAnsi="仿宋_GB2312" w:cs="仿宋_GB2312" w:eastAsia="仿宋_GB2312"/>
                <w:sz w:val="18"/>
                <w:b/>
                <w:color w:val="000000"/>
              </w:rPr>
              <w:t>一、项目概况</w:t>
            </w:r>
          </w:p>
          <w:p>
            <w:pPr>
              <w:pStyle w:val="null3"/>
              <w:ind w:firstLine="624"/>
              <w:jc w:val="left"/>
            </w:pPr>
            <w:r>
              <w:rPr>
                <w:rFonts w:ascii="仿宋_GB2312" w:hAnsi="仿宋_GB2312" w:cs="仿宋_GB2312" w:eastAsia="仿宋_GB2312"/>
                <w:sz w:val="18"/>
                <w:color w:val="000000"/>
              </w:rPr>
              <w:t>基于</w:t>
            </w:r>
            <w:r>
              <w:rPr>
                <w:rFonts w:ascii="仿宋_GB2312" w:hAnsi="仿宋_GB2312" w:cs="仿宋_GB2312" w:eastAsia="仿宋_GB2312"/>
                <w:sz w:val="18"/>
                <w:color w:val="000000"/>
              </w:rPr>
              <w:t>生态环境执法人员</w:t>
            </w:r>
            <w:r>
              <w:rPr>
                <w:rFonts w:ascii="仿宋_GB2312" w:hAnsi="仿宋_GB2312" w:cs="仿宋_GB2312" w:eastAsia="仿宋_GB2312"/>
                <w:sz w:val="18"/>
                <w:color w:val="000000"/>
              </w:rPr>
              <w:t>实践要求，以提升</w:t>
            </w:r>
            <w:r>
              <w:rPr>
                <w:rFonts w:ascii="仿宋_GB2312" w:hAnsi="仿宋_GB2312" w:cs="仿宋_GB2312" w:eastAsia="仿宋_GB2312"/>
                <w:sz w:val="18"/>
                <w:color w:val="000000"/>
              </w:rPr>
              <w:t>生态环境执法人员</w:t>
            </w:r>
            <w:r>
              <w:rPr>
                <w:rFonts w:ascii="仿宋_GB2312" w:hAnsi="仿宋_GB2312" w:cs="仿宋_GB2312" w:eastAsia="仿宋_GB2312"/>
                <w:sz w:val="18"/>
                <w:color w:val="000000"/>
              </w:rPr>
              <w:t>能力为目标，开展</w:t>
            </w:r>
            <w:r>
              <w:rPr>
                <w:rFonts w:ascii="仿宋_GB2312" w:hAnsi="仿宋_GB2312" w:cs="仿宋_GB2312" w:eastAsia="仿宋_GB2312"/>
                <w:sz w:val="18"/>
                <w:color w:val="000000"/>
              </w:rPr>
              <w:t>2025</w:t>
            </w:r>
            <w:r>
              <w:rPr>
                <w:rFonts w:ascii="仿宋_GB2312" w:hAnsi="仿宋_GB2312" w:cs="仿宋_GB2312" w:eastAsia="仿宋_GB2312"/>
                <w:sz w:val="18"/>
                <w:color w:val="000000"/>
              </w:rPr>
              <w:t>年</w:t>
            </w:r>
            <w:r>
              <w:rPr>
                <w:rFonts w:ascii="仿宋_GB2312" w:hAnsi="仿宋_GB2312" w:cs="仿宋_GB2312" w:eastAsia="仿宋_GB2312"/>
                <w:sz w:val="18"/>
                <w:color w:val="000000"/>
              </w:rPr>
              <w:t>生态环境执法大练兵</w:t>
            </w:r>
            <w:r>
              <w:rPr>
                <w:rFonts w:ascii="仿宋_GB2312" w:hAnsi="仿宋_GB2312" w:cs="仿宋_GB2312" w:eastAsia="仿宋_GB2312"/>
                <w:sz w:val="18"/>
                <w:color w:val="000000"/>
              </w:rPr>
              <w:t>，主要</w:t>
            </w:r>
            <w:r>
              <w:rPr>
                <w:rFonts w:ascii="仿宋_GB2312" w:hAnsi="仿宋_GB2312" w:cs="仿宋_GB2312" w:eastAsia="仿宋_GB2312"/>
                <w:sz w:val="18"/>
                <w:color w:val="000000"/>
              </w:rPr>
              <w:t>配合完成</w:t>
            </w:r>
            <w:r>
              <w:rPr>
                <w:rFonts w:ascii="仿宋_GB2312" w:hAnsi="仿宋_GB2312" w:cs="仿宋_GB2312" w:eastAsia="仿宋_GB2312"/>
                <w:sz w:val="18"/>
                <w:color w:val="000000"/>
              </w:rPr>
              <w:t>队</w:t>
            </w:r>
            <w:r>
              <w:rPr>
                <w:rFonts w:ascii="仿宋_GB2312" w:hAnsi="仿宋_GB2312" w:cs="仿宋_GB2312" w:eastAsia="仿宋_GB2312"/>
                <w:sz w:val="18"/>
                <w:color w:val="000000"/>
              </w:rPr>
              <w:t>全省生态环境执法大练兵动员部署会、技能比武、推进会</w:t>
            </w:r>
            <w:r>
              <w:rPr>
                <w:rFonts w:ascii="仿宋_GB2312" w:hAnsi="仿宋_GB2312" w:cs="仿宋_GB2312" w:eastAsia="仿宋_GB2312"/>
                <w:sz w:val="18"/>
                <w:color w:val="000000"/>
              </w:rPr>
              <w:t>等相关内容。通过本项目实施帮助</w:t>
            </w:r>
            <w:r>
              <w:rPr>
                <w:rFonts w:ascii="仿宋_GB2312" w:hAnsi="仿宋_GB2312" w:cs="仿宋_GB2312" w:eastAsia="仿宋_GB2312"/>
                <w:sz w:val="18"/>
                <w:color w:val="000000"/>
              </w:rPr>
              <w:t>生态环境执法人员</w:t>
            </w:r>
            <w:r>
              <w:rPr>
                <w:rFonts w:ascii="仿宋_GB2312" w:hAnsi="仿宋_GB2312" w:cs="仿宋_GB2312" w:eastAsia="仿宋_GB2312"/>
                <w:sz w:val="18"/>
                <w:color w:val="000000"/>
              </w:rPr>
              <w:t>提升</w:t>
            </w:r>
            <w:r>
              <w:rPr>
                <w:rFonts w:ascii="仿宋_GB2312" w:hAnsi="仿宋_GB2312" w:cs="仿宋_GB2312" w:eastAsia="仿宋_GB2312"/>
                <w:sz w:val="18"/>
                <w:color w:val="000000"/>
              </w:rPr>
              <w:t>业务能力</w:t>
            </w:r>
            <w:r>
              <w:rPr>
                <w:rFonts w:ascii="仿宋_GB2312" w:hAnsi="仿宋_GB2312" w:cs="仿宋_GB2312" w:eastAsia="仿宋_GB2312"/>
                <w:sz w:val="18"/>
                <w:color w:val="000000"/>
              </w:rPr>
              <w: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spacing w:before="75"/>
              <w:ind w:left="615"/>
              <w:jc w:val="left"/>
            </w:pPr>
            <w:r>
              <w:rPr>
                <w:rFonts w:ascii="仿宋_GB2312" w:hAnsi="仿宋_GB2312" w:cs="仿宋_GB2312" w:eastAsia="仿宋_GB2312"/>
                <w:sz w:val="18"/>
                <w:color w:val="000000"/>
              </w:rPr>
              <w:t>二、服务内容</w:t>
            </w:r>
          </w:p>
          <w:tbl>
            <w:tblPr>
              <w:tblBorders>
                <w:top w:val="none" w:color="000000" w:sz="4"/>
                <w:left w:val="none" w:color="000000" w:sz="4"/>
                <w:bottom w:val="none" w:color="000000" w:sz="4"/>
                <w:right w:val="none" w:color="000000" w:sz="4"/>
                <w:insideH w:val="none"/>
                <w:insideV w:val="none"/>
              </w:tblBorders>
            </w:tblPr>
            <w:tblGrid>
              <w:gridCol w:w="222"/>
              <w:gridCol w:w="341"/>
              <w:gridCol w:w="261"/>
              <w:gridCol w:w="219"/>
              <w:gridCol w:w="958"/>
              <w:gridCol w:w="231"/>
            </w:tblGrid>
            <w:tr>
              <w:tc>
                <w:tcPr>
                  <w:tcW w:type="dxa" w:w="22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序号</w:t>
                  </w:r>
                </w:p>
              </w:tc>
              <w:tc>
                <w:tcPr>
                  <w:tcW w:type="dxa" w:w="34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标的名称</w:t>
                  </w:r>
                </w:p>
              </w:tc>
              <w:tc>
                <w:tcPr>
                  <w:tcW w:type="dxa" w:w="26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规格</w:t>
                  </w:r>
                </w:p>
              </w:tc>
              <w:tc>
                <w:tcPr>
                  <w:tcW w:type="dxa" w:w="21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数量</w:t>
                  </w:r>
                </w:p>
              </w:tc>
              <w:tc>
                <w:tcPr>
                  <w:tcW w:type="dxa" w:w="95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服务内容</w:t>
                  </w:r>
                </w:p>
              </w:tc>
              <w:tc>
                <w:tcPr>
                  <w:tcW w:type="dxa" w:w="23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备注</w:t>
                  </w:r>
                </w:p>
              </w:tc>
            </w:tr>
            <w:tr>
              <w:tc>
                <w:tcPr>
                  <w:tcW w:type="dxa" w:w="2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1</w:t>
                  </w:r>
                </w:p>
              </w:tc>
              <w:tc>
                <w:tcPr>
                  <w:tcW w:type="dxa" w:w="3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生态环境执法大练兵</w:t>
                  </w:r>
                </w:p>
              </w:tc>
              <w:tc>
                <w:tcPr>
                  <w:tcW w:type="dxa" w:w="2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项</w:t>
                  </w:r>
                </w:p>
              </w:tc>
              <w:tc>
                <w:tcPr>
                  <w:tcW w:type="dxa" w:w="2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1</w:t>
                  </w:r>
                </w:p>
              </w:tc>
              <w:tc>
                <w:tcPr>
                  <w:tcW w:type="dxa" w:w="9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pPr>
                  <w:r>
                    <w:rPr>
                      <w:rFonts w:ascii="仿宋_GB2312" w:hAnsi="仿宋_GB2312" w:cs="仿宋_GB2312" w:eastAsia="仿宋_GB2312"/>
                      <w:sz w:val="18"/>
                    </w:rPr>
                    <w:t>主要配合完成队全省生态环境执法大练兵动员部署会、技能比武、推进会等相关内容。</w:t>
                  </w:r>
                </w:p>
              </w:tc>
              <w:tc>
                <w:tcPr>
                  <w:tcW w:type="dxa" w:w="2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spacing w:before="75"/>
              <w:ind w:left="615"/>
              <w:jc w:val="left"/>
            </w:pPr>
            <w:r>
              <w:rPr>
                <w:rFonts w:ascii="仿宋_GB2312" w:hAnsi="仿宋_GB2312" w:cs="仿宋_GB2312" w:eastAsia="仿宋_GB2312"/>
                <w:sz w:val="18"/>
                <w:color w:val="000000"/>
              </w:rPr>
              <w:t>三、技术要求</w:t>
            </w:r>
          </w:p>
          <w:p>
            <w:pPr>
              <w:pStyle w:val="null3"/>
              <w:spacing w:before="30"/>
              <w:ind w:left="615"/>
              <w:jc w:val="left"/>
            </w:pPr>
            <w:r>
              <w:rPr>
                <w:rFonts w:ascii="仿宋_GB2312" w:hAnsi="仿宋_GB2312" w:cs="仿宋_GB2312" w:eastAsia="仿宋_GB2312"/>
                <w:sz w:val="18"/>
                <w:b/>
                <w:color w:val="000000"/>
              </w:rPr>
              <w:t>（一）</w:t>
            </w:r>
            <w:r>
              <w:rPr>
                <w:rFonts w:ascii="仿宋_GB2312" w:hAnsi="仿宋_GB2312" w:cs="仿宋_GB2312" w:eastAsia="仿宋_GB2312"/>
                <w:sz w:val="18"/>
                <w:b/>
                <w:color w:val="000000"/>
              </w:rPr>
              <w:t>建设要求</w:t>
            </w:r>
          </w:p>
          <w:p>
            <w:pPr>
              <w:pStyle w:val="null3"/>
              <w:ind w:firstLine="640"/>
              <w:jc w:val="left"/>
            </w:pPr>
            <w:r>
              <w:rPr>
                <w:rFonts w:ascii="仿宋_GB2312" w:hAnsi="仿宋_GB2312" w:cs="仿宋_GB2312" w:eastAsia="仿宋_GB2312"/>
                <w:sz w:val="18"/>
                <w:color w:val="000000"/>
              </w:rPr>
              <w:t>遵循“生态环境执法大练兵”主题，突出全员、全年、全过程练兵，以强化生态环境执法能力为目标，以提升生态环境执法队伍素质为核心。</w:t>
            </w:r>
            <w:r>
              <w:rPr>
                <w:rFonts w:ascii="仿宋_GB2312" w:hAnsi="仿宋_GB2312" w:cs="仿宋_GB2312" w:eastAsia="仿宋_GB2312"/>
                <w:sz w:val="18"/>
                <w:color w:val="000000"/>
              </w:rPr>
              <w:t>充分发挥大练兵引导激励作用，</w:t>
            </w:r>
            <w:r>
              <w:rPr>
                <w:rFonts w:ascii="仿宋_GB2312" w:hAnsi="仿宋_GB2312" w:cs="仿宋_GB2312" w:eastAsia="仿宋_GB2312"/>
                <w:sz w:val="18"/>
                <w:color w:val="000000"/>
              </w:rPr>
              <w:t>突出</w:t>
            </w:r>
            <w:r>
              <w:rPr>
                <w:rFonts w:ascii="仿宋_GB2312" w:hAnsi="仿宋_GB2312" w:cs="仿宋_GB2312" w:eastAsia="仿宋_GB2312"/>
                <w:sz w:val="18"/>
                <w:color w:val="000000"/>
              </w:rPr>
              <w:t>实战导向、深化数智支撑，全面加强生态环境保护综合行政执法队伍建设，在新时代新征程上锻造生态环境保护铁军中的主力军。</w:t>
            </w:r>
          </w:p>
          <w:p>
            <w:pPr>
              <w:pStyle w:val="null3"/>
              <w:spacing w:before="30"/>
              <w:ind w:firstLine="619"/>
              <w:jc w:val="left"/>
            </w:pPr>
            <w:r>
              <w:rPr>
                <w:rFonts w:ascii="仿宋_GB2312" w:hAnsi="仿宋_GB2312" w:cs="仿宋_GB2312" w:eastAsia="仿宋_GB2312"/>
                <w:sz w:val="18"/>
                <w:b/>
                <w:color w:val="000000"/>
              </w:rPr>
              <w:t>（二）技术要求</w:t>
            </w:r>
          </w:p>
          <w:p>
            <w:pPr>
              <w:pStyle w:val="null3"/>
              <w:ind w:firstLine="624"/>
              <w:jc w:val="left"/>
            </w:pPr>
            <w:r>
              <w:rPr>
                <w:rFonts w:ascii="仿宋_GB2312" w:hAnsi="仿宋_GB2312" w:cs="仿宋_GB2312" w:eastAsia="仿宋_GB2312"/>
                <w:sz w:val="18"/>
                <w:color w:val="000000"/>
              </w:rPr>
              <w:t>1.在“全省生态环境执法大练兵动员部署会”中给予技术支持与服务，包括食宿安排、会议保障、表彰奖励保障等等内容制定完善的实施计划。</w:t>
            </w:r>
          </w:p>
          <w:p>
            <w:pPr>
              <w:pStyle w:val="null3"/>
              <w:ind w:firstLine="624"/>
              <w:jc w:val="left"/>
            </w:pPr>
            <w:r>
              <w:rPr>
                <w:rFonts w:ascii="仿宋_GB2312" w:hAnsi="仿宋_GB2312" w:cs="仿宋_GB2312" w:eastAsia="仿宋_GB2312"/>
                <w:sz w:val="18"/>
                <w:color w:val="000000"/>
              </w:rPr>
              <w:t>2.在“全省生态环境执法大练兵技能比武”中给予技术支持与服务，包括开幕式和闭幕式保障、食宿安排、各类比武场地保障、裁判保障、表彰奖励保障等等内容。比武活动结束后，根据各参赛队伍表现情况出具活动分析报告，进一步分析各参赛队伍存在的问题及短板，对切实提升全省执法人员执法实战能力、规范执法行为提出合理化建议。</w:t>
            </w:r>
          </w:p>
          <w:p>
            <w:pPr>
              <w:pStyle w:val="null3"/>
              <w:ind w:firstLine="624"/>
              <w:jc w:val="left"/>
            </w:pPr>
            <w:r>
              <w:rPr>
                <w:rFonts w:ascii="仿宋_GB2312" w:hAnsi="仿宋_GB2312" w:cs="仿宋_GB2312" w:eastAsia="仿宋_GB2312"/>
                <w:sz w:val="18"/>
                <w:color w:val="000000"/>
              </w:rPr>
              <w:t>3</w:t>
            </w:r>
            <w:r>
              <w:rPr>
                <w:rFonts w:ascii="仿宋_GB2312" w:hAnsi="仿宋_GB2312" w:cs="仿宋_GB2312" w:eastAsia="仿宋_GB2312"/>
                <w:sz w:val="18"/>
                <w:color w:val="000000"/>
              </w:rPr>
              <w:t>.</w:t>
            </w:r>
            <w:r>
              <w:rPr>
                <w:rFonts w:ascii="仿宋_GB2312" w:hAnsi="仿宋_GB2312" w:cs="仿宋_GB2312" w:eastAsia="仿宋_GB2312"/>
                <w:sz w:val="18"/>
                <w:color w:val="000000"/>
              </w:rPr>
              <w:t>在“全省生态环境执法大练兵推进会”中给予技术支持与服务，包括食宿安排、会议保障等等内容制定完善的实施计划。</w:t>
            </w:r>
          </w:p>
          <w:p>
            <w:pPr>
              <w:pStyle w:val="null3"/>
              <w:spacing w:before="30"/>
              <w:ind w:left="615"/>
              <w:jc w:val="left"/>
            </w:pPr>
            <w:r>
              <w:rPr>
                <w:rFonts w:ascii="仿宋_GB2312" w:hAnsi="仿宋_GB2312" w:cs="仿宋_GB2312" w:eastAsia="仿宋_GB2312"/>
                <w:sz w:val="18"/>
                <w:b/>
                <w:color w:val="000000"/>
              </w:rPr>
              <w:t>（三）</w:t>
            </w:r>
            <w:r>
              <w:rPr>
                <w:rFonts w:ascii="仿宋_GB2312" w:hAnsi="仿宋_GB2312" w:cs="仿宋_GB2312" w:eastAsia="仿宋_GB2312"/>
                <w:sz w:val="18"/>
                <w:b/>
                <w:color w:val="000000"/>
              </w:rPr>
              <w:t>成果交付</w:t>
            </w:r>
          </w:p>
          <w:p>
            <w:pPr>
              <w:pStyle w:val="null3"/>
              <w:ind w:firstLine="624"/>
              <w:jc w:val="left"/>
            </w:pPr>
            <w:r>
              <w:rPr>
                <w:rFonts w:ascii="仿宋_GB2312" w:hAnsi="仿宋_GB2312" w:cs="仿宋_GB2312" w:eastAsia="仿宋_GB2312"/>
                <w:sz w:val="18"/>
                <w:color w:val="000000"/>
              </w:rPr>
              <w:t>1.</w:t>
            </w:r>
            <w:r>
              <w:rPr>
                <w:rFonts w:ascii="仿宋_GB2312" w:hAnsi="仿宋_GB2312" w:cs="仿宋_GB2312" w:eastAsia="仿宋_GB2312"/>
                <w:sz w:val="18"/>
                <w:color w:val="000000"/>
              </w:rPr>
              <w:t>确保2025年生态环境执法大练兵动员部署会、技能比武、推进会等各项目顺利完成。</w:t>
            </w:r>
          </w:p>
          <w:p>
            <w:pPr>
              <w:pStyle w:val="null3"/>
              <w:ind w:firstLine="624"/>
              <w:jc w:val="left"/>
            </w:pPr>
            <w:r>
              <w:rPr>
                <w:rFonts w:ascii="仿宋_GB2312" w:hAnsi="仿宋_GB2312" w:cs="仿宋_GB2312" w:eastAsia="仿宋_GB2312"/>
                <w:sz w:val="18"/>
                <w:color w:val="000000"/>
              </w:rPr>
              <w:t>2.</w:t>
            </w:r>
            <w:r>
              <w:rPr>
                <w:rFonts w:ascii="仿宋_GB2312" w:hAnsi="仿宋_GB2312" w:cs="仿宋_GB2312" w:eastAsia="仿宋_GB2312"/>
                <w:sz w:val="18"/>
                <w:color w:val="000000"/>
              </w:rPr>
              <w:t>提高全员执法能力。聚焦基层队伍基础能力和新装备应用方面存在的问题和短板，强化日常规范执法，切实提升依法行政水平。加强新装备配备、应用和信息化建设，深度融合传统检查手段和现代科技手段，重点提高发现环境违法问题能力。</w:t>
            </w:r>
          </w:p>
          <w:p>
            <w:pPr>
              <w:pStyle w:val="null3"/>
              <w:ind w:firstLine="624"/>
              <w:jc w:val="left"/>
            </w:pPr>
            <w:r>
              <w:rPr>
                <w:rFonts w:ascii="仿宋_GB2312" w:hAnsi="仿宋_GB2312" w:cs="仿宋_GB2312" w:eastAsia="仿宋_GB2312"/>
                <w:sz w:val="18"/>
                <w:color w:val="000000"/>
              </w:rPr>
              <w:t>3.</w:t>
            </w:r>
            <w:r>
              <w:rPr>
                <w:rFonts w:ascii="仿宋_GB2312" w:hAnsi="仿宋_GB2312" w:cs="仿宋_GB2312" w:eastAsia="仿宋_GB2312"/>
                <w:sz w:val="18"/>
                <w:color w:val="000000"/>
              </w:rPr>
              <w:t>解决突出环境问题。围绕深入打好污染防治攻坚战开展实战化练兵，将重点区域、重点行业监督帮扶和专项行动作为练兵主战场，助力汾渭平原关中地区大气污染攻坚，努力实现解决突出环境问题、打击环境违法犯罪、锤炼执法队伍的综合效应。</w:t>
            </w:r>
          </w:p>
          <w:p>
            <w:pPr>
              <w:pStyle w:val="null3"/>
              <w:ind w:firstLine="624"/>
              <w:jc w:val="left"/>
            </w:pPr>
            <w:r>
              <w:rPr>
                <w:rFonts w:ascii="仿宋_GB2312" w:hAnsi="仿宋_GB2312" w:cs="仿宋_GB2312" w:eastAsia="仿宋_GB2312"/>
                <w:sz w:val="18"/>
                <w:color w:val="000000"/>
              </w:rPr>
              <w:t>4.</w:t>
            </w:r>
            <w:r>
              <w:rPr>
                <w:rFonts w:ascii="仿宋_GB2312" w:hAnsi="仿宋_GB2312" w:cs="仿宋_GB2312" w:eastAsia="仿宋_GB2312"/>
                <w:sz w:val="18"/>
                <w:color w:val="000000"/>
              </w:rPr>
              <w:t>提升队伍建设管理水平。以大练兵巩固落实已形成的制度机制，继续推进机构规范化建设，进一步健全执法制度体系，创新工作方法，丰富练兵形式，形成一批有借鉴意义、可复制推广的先进经验做法，全要素全方位提升队伍建设管理水平。</w:t>
            </w:r>
          </w:p>
          <w:p>
            <w:pPr>
              <w:pStyle w:val="null3"/>
              <w:spacing w:before="30"/>
              <w:ind w:left="615"/>
              <w:jc w:val="left"/>
            </w:pPr>
            <w:r>
              <w:rPr>
                <w:rFonts w:ascii="仿宋_GB2312" w:hAnsi="仿宋_GB2312" w:cs="仿宋_GB2312" w:eastAsia="仿宋_GB2312"/>
                <w:sz w:val="18"/>
                <w:b/>
                <w:color w:val="000000"/>
              </w:rPr>
              <w:t>（四）服务团队要求</w:t>
            </w:r>
          </w:p>
          <w:p>
            <w:pPr>
              <w:pStyle w:val="null3"/>
              <w:ind w:firstLine="624"/>
              <w:jc w:val="left"/>
            </w:pPr>
            <w:r>
              <w:rPr>
                <w:rFonts w:ascii="仿宋_GB2312" w:hAnsi="仿宋_GB2312" w:cs="仿宋_GB2312" w:eastAsia="仿宋_GB2312"/>
                <w:sz w:val="18"/>
                <w:color w:val="000000"/>
              </w:rPr>
              <w:t>1.</w:t>
            </w:r>
            <w:r>
              <w:rPr>
                <w:rFonts w:ascii="仿宋_GB2312" w:hAnsi="仿宋_GB2312" w:cs="仿宋_GB2312" w:eastAsia="仿宋_GB2312"/>
                <w:sz w:val="18"/>
                <w:color w:val="000000"/>
              </w:rPr>
              <w:t>生态环境执法大练兵服务</w:t>
            </w:r>
            <w:r>
              <w:rPr>
                <w:rFonts w:ascii="仿宋_GB2312" w:hAnsi="仿宋_GB2312" w:cs="仿宋_GB2312" w:eastAsia="仿宋_GB2312"/>
                <w:sz w:val="18"/>
                <w:color w:val="000000"/>
              </w:rPr>
              <w:t>团队成员至少包括项目负责人、</w:t>
            </w:r>
            <w:r>
              <w:rPr>
                <w:rFonts w:ascii="仿宋_GB2312" w:hAnsi="仿宋_GB2312" w:cs="仿宋_GB2312" w:eastAsia="仿宋_GB2312"/>
                <w:sz w:val="18"/>
                <w:color w:val="000000"/>
              </w:rPr>
              <w:t>接待人员、技术支持人员、记录人员、后勤保障人员等</w:t>
            </w:r>
            <w:r>
              <w:rPr>
                <w:rFonts w:ascii="仿宋_GB2312" w:hAnsi="仿宋_GB2312" w:cs="仿宋_GB2312" w:eastAsia="仿宋_GB2312"/>
                <w:sz w:val="18"/>
                <w:color w:val="000000"/>
              </w:rPr>
              <w:t>。</w:t>
            </w:r>
          </w:p>
          <w:p>
            <w:pPr>
              <w:pStyle w:val="null3"/>
              <w:ind w:firstLine="624"/>
              <w:jc w:val="left"/>
            </w:pPr>
            <w:r>
              <w:rPr>
                <w:rFonts w:ascii="仿宋_GB2312" w:hAnsi="仿宋_GB2312" w:cs="仿宋_GB2312" w:eastAsia="仿宋_GB2312"/>
                <w:sz w:val="18"/>
                <w:color w:val="000000"/>
              </w:rPr>
              <w:t>2</w:t>
            </w:r>
            <w:r>
              <w:rPr>
                <w:rFonts w:ascii="仿宋_GB2312" w:hAnsi="仿宋_GB2312" w:cs="仿宋_GB2312" w:eastAsia="仿宋_GB2312"/>
                <w:sz w:val="18"/>
                <w:color w:val="000000"/>
              </w:rPr>
              <w:t>.</w:t>
            </w:r>
            <w:r>
              <w:rPr>
                <w:rFonts w:ascii="仿宋_GB2312" w:hAnsi="仿宋_GB2312" w:cs="仿宋_GB2312" w:eastAsia="仿宋_GB2312"/>
                <w:sz w:val="18"/>
                <w:color w:val="000000"/>
              </w:rPr>
              <w:t>供应商须有长期固定的</w:t>
            </w:r>
            <w:r>
              <w:rPr>
                <w:rFonts w:ascii="仿宋_GB2312" w:hAnsi="仿宋_GB2312" w:cs="仿宋_GB2312" w:eastAsia="仿宋_GB2312"/>
                <w:sz w:val="18"/>
                <w:color w:val="000000"/>
              </w:rPr>
              <w:t>服务团队</w:t>
            </w:r>
            <w:r>
              <w:rPr>
                <w:rFonts w:ascii="仿宋_GB2312" w:hAnsi="仿宋_GB2312" w:cs="仿宋_GB2312" w:eastAsia="仿宋_GB2312"/>
                <w:sz w:val="18"/>
                <w:color w:val="000000"/>
              </w:rPr>
              <w:t>，确保</w:t>
            </w:r>
            <w:r>
              <w:rPr>
                <w:rFonts w:ascii="仿宋_GB2312" w:hAnsi="仿宋_GB2312" w:cs="仿宋_GB2312" w:eastAsia="仿宋_GB2312"/>
                <w:sz w:val="18"/>
                <w:color w:val="000000"/>
              </w:rPr>
              <w:t>服务团队人员的</w:t>
            </w:r>
            <w:r>
              <w:rPr>
                <w:rFonts w:ascii="仿宋_GB2312" w:hAnsi="仿宋_GB2312" w:cs="仿宋_GB2312" w:eastAsia="仿宋_GB2312"/>
                <w:sz w:val="18"/>
                <w:color w:val="000000"/>
              </w:rPr>
              <w:t>稳定性，</w:t>
            </w:r>
            <w:r>
              <w:rPr>
                <w:rFonts w:ascii="仿宋_GB2312" w:hAnsi="仿宋_GB2312" w:cs="仿宋_GB2312" w:eastAsia="仿宋_GB2312"/>
                <w:sz w:val="18"/>
                <w:color w:val="000000"/>
              </w:rPr>
              <w:t>本项目</w:t>
            </w:r>
            <w:r>
              <w:rPr>
                <w:rFonts w:ascii="仿宋_GB2312" w:hAnsi="仿宋_GB2312" w:cs="仿宋_GB2312" w:eastAsia="仿宋_GB2312"/>
                <w:sz w:val="18"/>
                <w:color w:val="000000"/>
              </w:rPr>
              <w:t>工作</w:t>
            </w:r>
            <w:r>
              <w:rPr>
                <w:rFonts w:ascii="仿宋_GB2312" w:hAnsi="仿宋_GB2312" w:cs="仿宋_GB2312" w:eastAsia="仿宋_GB2312"/>
                <w:sz w:val="18"/>
                <w:color w:val="000000"/>
              </w:rPr>
              <w:t>内容</w:t>
            </w:r>
            <w:r>
              <w:rPr>
                <w:rFonts w:ascii="仿宋_GB2312" w:hAnsi="仿宋_GB2312" w:cs="仿宋_GB2312" w:eastAsia="仿宋_GB2312"/>
                <w:sz w:val="18"/>
                <w:color w:val="000000"/>
              </w:rPr>
              <w:t>的效率及效果，满足采购人的质量和效率要求，实施过程中不得无故更换</w:t>
            </w:r>
            <w:r>
              <w:rPr>
                <w:rFonts w:ascii="仿宋_GB2312" w:hAnsi="仿宋_GB2312" w:cs="仿宋_GB2312" w:eastAsia="仿宋_GB2312"/>
                <w:sz w:val="18"/>
                <w:color w:val="000000"/>
              </w:rPr>
              <w:t>项目负责</w:t>
            </w:r>
            <w:r>
              <w:rPr>
                <w:rFonts w:ascii="仿宋_GB2312" w:hAnsi="仿宋_GB2312" w:cs="仿宋_GB2312" w:eastAsia="仿宋_GB2312"/>
                <w:sz w:val="18"/>
                <w:color w:val="000000"/>
              </w:rPr>
              <w:t>人员。</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spacing w:before="75"/>
              <w:ind w:left="615"/>
              <w:jc w:val="left"/>
            </w:pPr>
            <w:r>
              <w:rPr>
                <w:rFonts w:ascii="仿宋_GB2312" w:hAnsi="仿宋_GB2312" w:cs="仿宋_GB2312" w:eastAsia="仿宋_GB2312"/>
                <w:sz w:val="18"/>
                <w:b/>
                <w:color w:val="000000"/>
              </w:rPr>
              <w:t>四、商务要求</w:t>
            </w:r>
          </w:p>
          <w:p>
            <w:pPr>
              <w:pStyle w:val="null3"/>
              <w:spacing w:before="30"/>
              <w:ind w:left="615"/>
              <w:jc w:val="left"/>
            </w:pPr>
            <w:r>
              <w:rPr>
                <w:rFonts w:ascii="仿宋_GB2312" w:hAnsi="仿宋_GB2312" w:cs="仿宋_GB2312" w:eastAsia="仿宋_GB2312"/>
                <w:sz w:val="18"/>
                <w:b/>
                <w:color w:val="000000"/>
              </w:rPr>
              <w:t>（一）服务期限</w:t>
            </w:r>
          </w:p>
          <w:p>
            <w:pPr>
              <w:pStyle w:val="null3"/>
              <w:ind w:firstLine="624"/>
              <w:jc w:val="left"/>
            </w:pPr>
            <w:r>
              <w:rPr>
                <w:rFonts w:ascii="仿宋_GB2312" w:hAnsi="仿宋_GB2312" w:cs="仿宋_GB2312" w:eastAsia="仿宋_GB2312"/>
                <w:sz w:val="18"/>
                <w:color w:val="000000"/>
              </w:rPr>
              <w:t>1.</w:t>
            </w:r>
            <w:r>
              <w:rPr>
                <w:rFonts w:ascii="仿宋_GB2312" w:hAnsi="仿宋_GB2312" w:cs="仿宋_GB2312" w:eastAsia="仿宋_GB2312"/>
                <w:sz w:val="18"/>
                <w:color w:val="000000"/>
              </w:rPr>
              <w:t>交付期：自合同签订之日起</w:t>
            </w:r>
            <w:r>
              <w:rPr>
                <w:rFonts w:ascii="仿宋_GB2312" w:hAnsi="仿宋_GB2312" w:cs="仿宋_GB2312" w:eastAsia="仿宋_GB2312"/>
                <w:sz w:val="18"/>
                <w:color w:val="000000"/>
              </w:rPr>
              <w:t>本年度</w:t>
            </w:r>
            <w:r>
              <w:rPr>
                <w:rFonts w:ascii="仿宋_GB2312" w:hAnsi="仿宋_GB2312" w:cs="仿宋_GB2312" w:eastAsia="仿宋_GB2312"/>
                <w:sz w:val="18"/>
                <w:color w:val="000000"/>
              </w:rPr>
              <w:t>内</w:t>
            </w:r>
            <w:r>
              <w:rPr>
                <w:rFonts w:ascii="仿宋_GB2312" w:hAnsi="仿宋_GB2312" w:cs="仿宋_GB2312" w:eastAsia="仿宋_GB2312"/>
                <w:sz w:val="18"/>
                <w:color w:val="000000"/>
              </w:rPr>
              <w:t>完成“生态环境执法大练兵”工作。</w:t>
            </w:r>
          </w:p>
          <w:p>
            <w:pPr>
              <w:pStyle w:val="null3"/>
              <w:ind w:firstLine="624"/>
              <w:jc w:val="left"/>
            </w:pPr>
            <w:r>
              <w:rPr>
                <w:rFonts w:ascii="仿宋_GB2312" w:hAnsi="仿宋_GB2312" w:cs="仿宋_GB2312" w:eastAsia="仿宋_GB2312"/>
                <w:sz w:val="18"/>
                <w:color w:val="000000"/>
              </w:rPr>
              <w:t>2.</w:t>
            </w:r>
            <w:r>
              <w:rPr>
                <w:rFonts w:ascii="仿宋_GB2312" w:hAnsi="仿宋_GB2312" w:cs="仿宋_GB2312" w:eastAsia="仿宋_GB2312"/>
                <w:sz w:val="18"/>
                <w:color w:val="000000"/>
              </w:rPr>
              <w:t>服务地点：采购人指定地点</w:t>
            </w:r>
            <w:r>
              <w:rPr>
                <w:rFonts w:ascii="仿宋_GB2312" w:hAnsi="仿宋_GB2312" w:cs="仿宋_GB2312" w:eastAsia="仿宋_GB2312"/>
                <w:sz w:val="18"/>
                <w:color w:val="000000"/>
              </w:rPr>
              <w:t>。</w:t>
            </w:r>
          </w:p>
          <w:p>
            <w:pPr>
              <w:pStyle w:val="null3"/>
              <w:spacing w:before="30"/>
              <w:ind w:left="615"/>
              <w:jc w:val="left"/>
            </w:pPr>
            <w:r>
              <w:rPr>
                <w:rFonts w:ascii="仿宋_GB2312" w:hAnsi="仿宋_GB2312" w:cs="仿宋_GB2312" w:eastAsia="仿宋_GB2312"/>
                <w:sz w:val="18"/>
                <w:b/>
                <w:color w:val="000000"/>
              </w:rPr>
              <w:t>（二）款项结算</w:t>
            </w:r>
          </w:p>
          <w:p>
            <w:pPr>
              <w:pStyle w:val="null3"/>
              <w:ind w:firstLine="624"/>
              <w:jc w:val="left"/>
            </w:pPr>
            <w:r>
              <w:rPr>
                <w:rFonts w:ascii="仿宋_GB2312" w:hAnsi="仿宋_GB2312" w:cs="仿宋_GB2312" w:eastAsia="仿宋_GB2312"/>
                <w:sz w:val="18"/>
                <w:color w:val="000000"/>
              </w:rPr>
              <w:t>1.</w:t>
            </w:r>
            <w:r>
              <w:rPr>
                <w:rFonts w:ascii="仿宋_GB2312" w:hAnsi="仿宋_GB2312" w:cs="仿宋_GB2312" w:eastAsia="仿宋_GB2312"/>
                <w:sz w:val="18"/>
                <w:color w:val="000000"/>
              </w:rPr>
              <w:t>支付方式：银行转账。</w:t>
            </w:r>
          </w:p>
          <w:p>
            <w:pPr>
              <w:pStyle w:val="null3"/>
              <w:ind w:firstLine="624"/>
              <w:jc w:val="left"/>
            </w:pPr>
            <w:r>
              <w:rPr>
                <w:rFonts w:ascii="仿宋_GB2312" w:hAnsi="仿宋_GB2312" w:cs="仿宋_GB2312" w:eastAsia="仿宋_GB2312"/>
                <w:sz w:val="18"/>
                <w:color w:val="000000"/>
              </w:rPr>
              <w:t>2.</w:t>
            </w:r>
            <w:r>
              <w:rPr>
                <w:rFonts w:ascii="仿宋_GB2312" w:hAnsi="仿宋_GB2312" w:cs="仿宋_GB2312" w:eastAsia="仿宋_GB2312"/>
                <w:sz w:val="18"/>
                <w:color w:val="000000"/>
              </w:rPr>
              <w:t>结算方式：</w:t>
            </w:r>
            <w:r>
              <w:rPr>
                <w:rFonts w:ascii="仿宋_GB2312" w:hAnsi="仿宋_GB2312" w:cs="仿宋_GB2312" w:eastAsia="仿宋_GB2312"/>
                <w:sz w:val="18"/>
                <w:color w:val="000000"/>
              </w:rPr>
              <w:t>自</w:t>
            </w:r>
            <w:r>
              <w:rPr>
                <w:rFonts w:ascii="仿宋_GB2312" w:hAnsi="仿宋_GB2312" w:cs="仿宋_GB2312" w:eastAsia="仿宋_GB2312"/>
                <w:sz w:val="18"/>
                <w:color w:val="000000"/>
              </w:rPr>
              <w:t>中标</w:t>
            </w:r>
            <w:r>
              <w:rPr>
                <w:rFonts w:ascii="仿宋_GB2312" w:hAnsi="仿宋_GB2312" w:cs="仿宋_GB2312" w:eastAsia="仿宋_GB2312"/>
                <w:sz w:val="18"/>
                <w:color w:val="000000"/>
              </w:rPr>
              <w:t>之日（以中标通知书时间为准）起15个工作日内</w:t>
            </w:r>
            <w:r>
              <w:rPr>
                <w:rFonts w:ascii="仿宋_GB2312" w:hAnsi="仿宋_GB2312" w:cs="仿宋_GB2312" w:eastAsia="仿宋_GB2312"/>
                <w:sz w:val="18"/>
                <w:color w:val="000000"/>
              </w:rPr>
              <w:t>采购人应支付合同</w:t>
            </w:r>
            <w:r>
              <w:rPr>
                <w:rFonts w:ascii="仿宋_GB2312" w:hAnsi="仿宋_GB2312" w:cs="仿宋_GB2312" w:eastAsia="仿宋_GB2312"/>
                <w:sz w:val="18"/>
                <w:color w:val="000000"/>
              </w:rPr>
              <w:t>总</w:t>
            </w:r>
            <w:r>
              <w:rPr>
                <w:rFonts w:ascii="仿宋_GB2312" w:hAnsi="仿宋_GB2312" w:cs="仿宋_GB2312" w:eastAsia="仿宋_GB2312"/>
                <w:sz w:val="18"/>
                <w:color w:val="000000"/>
              </w:rPr>
              <w:t>价款</w:t>
            </w:r>
            <w:r>
              <w:rPr>
                <w:rFonts w:ascii="仿宋_GB2312" w:hAnsi="仿宋_GB2312" w:cs="仿宋_GB2312" w:eastAsia="仿宋_GB2312"/>
                <w:sz w:val="18"/>
                <w:color w:val="000000"/>
              </w:rPr>
              <w:t>的70</w:t>
            </w:r>
            <w:r>
              <w:rPr>
                <w:rFonts w:ascii="仿宋_GB2312" w:hAnsi="仿宋_GB2312" w:cs="仿宋_GB2312" w:eastAsia="仿宋_GB2312"/>
                <w:sz w:val="18"/>
                <w:color w:val="000000"/>
              </w:rPr>
              <w:t>%</w:t>
            </w:r>
            <w:r>
              <w:rPr>
                <w:rFonts w:ascii="仿宋_GB2312" w:hAnsi="仿宋_GB2312" w:cs="仿宋_GB2312" w:eastAsia="仿宋_GB2312"/>
                <w:sz w:val="18"/>
                <w:color w:val="000000"/>
              </w:rPr>
              <w:t>作为</w:t>
            </w:r>
            <w:r>
              <w:rPr>
                <w:rFonts w:ascii="仿宋_GB2312" w:hAnsi="仿宋_GB2312" w:cs="仿宋_GB2312" w:eastAsia="仿宋_GB2312"/>
                <w:sz w:val="18"/>
                <w:color w:val="000000"/>
              </w:rPr>
              <w:t>预付款，最终通过验收后10个工作日内付清剩余</w:t>
            </w:r>
            <w:r>
              <w:rPr>
                <w:rFonts w:ascii="仿宋_GB2312" w:hAnsi="仿宋_GB2312" w:cs="仿宋_GB2312" w:eastAsia="仿宋_GB2312"/>
                <w:sz w:val="18"/>
                <w:color w:val="000000"/>
              </w:rPr>
              <w:t>3</w:t>
            </w:r>
            <w:r>
              <w:rPr>
                <w:rFonts w:ascii="仿宋_GB2312" w:hAnsi="仿宋_GB2312" w:cs="仿宋_GB2312" w:eastAsia="仿宋_GB2312"/>
                <w:sz w:val="18"/>
                <w:color w:val="000000"/>
              </w:rPr>
              <w:t>0%款项</w:t>
            </w:r>
            <w:r>
              <w:rPr>
                <w:rFonts w:ascii="仿宋_GB2312" w:hAnsi="仿宋_GB2312" w:cs="仿宋_GB2312" w:eastAsia="仿宋_GB2312"/>
                <w:sz w:val="18"/>
                <w:color w:val="000000"/>
              </w:rPr>
              <w:t>。</w:t>
            </w:r>
          </w:p>
          <w:p>
            <w:pPr>
              <w:pStyle w:val="null3"/>
              <w:ind w:firstLine="624"/>
              <w:jc w:val="left"/>
            </w:pPr>
            <w:r>
              <w:rPr>
                <w:rFonts w:ascii="仿宋_GB2312" w:hAnsi="仿宋_GB2312" w:cs="仿宋_GB2312" w:eastAsia="仿宋_GB2312"/>
                <w:sz w:val="18"/>
                <w:color w:val="000000"/>
              </w:rPr>
              <w:t>3.</w:t>
            </w:r>
            <w:r>
              <w:rPr>
                <w:rFonts w:ascii="仿宋_GB2312" w:hAnsi="仿宋_GB2312" w:cs="仿宋_GB2312" w:eastAsia="仿宋_GB2312"/>
                <w:sz w:val="18"/>
                <w:color w:val="000000"/>
              </w:rPr>
              <w:t>结算方式：供应商持验收书</w:t>
            </w:r>
            <w:r>
              <w:rPr>
                <w:rFonts w:ascii="仿宋_GB2312" w:hAnsi="仿宋_GB2312" w:cs="仿宋_GB2312" w:eastAsia="仿宋_GB2312"/>
                <w:sz w:val="18"/>
                <w:color w:val="000000"/>
              </w:rPr>
              <w:t>、</w:t>
            </w:r>
            <w:r>
              <w:rPr>
                <w:rFonts w:ascii="仿宋_GB2312" w:hAnsi="仿宋_GB2312" w:cs="仿宋_GB2312" w:eastAsia="仿宋_GB2312"/>
                <w:sz w:val="18"/>
                <w:color w:val="000000"/>
              </w:rPr>
              <w:t>发票（按合同总价开采购人），成交通知书、服务合同，与采购人结算。</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①提供本项目团队人员的组成清单，包括但不限于工作年限、资格证书和项目经验。②项目负责人需具备行政执法研究工作相关的类似经验，项目团队应不少于4人，团队人员从事过生态环境相关工作，具有环境管理或执法经验。③项目负责人未经采购单位书面许可，不得变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①生态环境执法大练兵服务团队成员至少包括项目负责人、接待人员、技术支持人员、记录人员、后勤保障人员等。②供应商须有长期固定的服务团队，确保服务团队人员的稳定性，本项目工作内容的效率及效果，满足采购人的质量和效率要求，实施过程中不得无故更换项目负责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自合同约定之日5个月内提交项目成果。</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自合同签订之日起本年度内完成“生态环境执法大练兵”工作</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由采购人负责组织验收或者邀请有关专家进行验收；验收合格须交接项目实施的全部资料，并填写政府采购项目验收报告单。验收须以合同、磋商文件及响应文件、澄清、及国家相应的标准、规范等为依据。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由采购人负责组织验收或者邀请有关专家进行验收；验收合格须交接项目实施的全部资料，并填写政府采购项目验收报告单。验收须以合同、磋商文件及响应文件、澄清、及国家相应的标准、规范等为依据。</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自中标之日（以中标通知书时间为准）起15个工作日内采购人应支付合同总价款的70%作为预付款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70.00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最终通过验收后10个工作日内付清剩余30%款项</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自中标之日（以中标通知书时间为准）起15个工作日内采购人应支付合同总价款的70%作为预付款</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70.00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最终通过验收后10个工作日内付清剩余30%款项</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（一）按《中华人民共和国民法典》中的相关条款执行。 （二）未按合同要求的提供服务不能满足采购要求，采购人有权终止合同，甚至对供方违约行为进行追究。 （三）如有纠纷，双方友好协商解决，协商不成时可诉讼到甲方所在地人民法院解决。</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（一）按《中华人民共和国民法典》中的相关条款执行。 （二）未按合同要求的提供服务不能满足采购要求，采购人有权终止合同，甚至对供方违约行为进行追究。 （三）如有纠纷，双方友好协商解决，协商不成时可诉讼到甲方所在地人民法院解决。</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提供合格有效的法人或者其他组织的营业执照等证明文件，自然人的身份证明；供应商是法人或其他组织的应提供营业执照等证明文件，供应商是自然人的应提供有效的自然人身份证明;2.提供2023年度经审计的财务报告（包括“四表一注”即《资产负债表》《利润表》《现金流量表》《所有者权益变动表》《附注》和会计师事务所营业执照，报告正文应当有会计师事务所公章，2个注册会计师的签字和盖章；成立时间至提交投标文件截止时间不足一年的可提供成立后任意时段的资产负债表）或基本存款账户开户银行出具的资信证明及基本存款账户开户许可证（基本账户信息）或财政部门认可的政府采购专业担保机构出具的投标担保函； 3.提供具有履行合同所必需的设备和专业技术能力的承诺； 4.提供磋商截止日前一年内已缴纳的至少一个月的纳税证明或完税证明，依法免税的单位应提供相关证明材料； 5.提供磋商截止日前一年内已缴存的至少一个月的社会保障资金缴存单据或社保机构开具的社会保险参保缴费情况证明，依法不需要缴纳社会保障资金的单位应提供相关证明材料； 6.参加政府采购活动前3年内，在经营活动中没有重大违法记录的书面声明。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响应函 资格证明文件.pdf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 提供2023年度经审计的财务报告（包括“四表一注”即《资产负债表》《利润表》《现金流量表》《所有者权益变动表》《附注》和会计师事务所营业执照，报告正文应当有会计师事务所公章，2个注册会计师的签字和盖章；成立时间至提交投标文件截止时间不足一年的可提供成立后任意时段的资产负债表）或基本存款账户开户银行出具的资信证明及基本存款账户开户许可证（基本账户信息）或财政部门认可的政府采购专业担保机构出具的投标担保函；</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供应商承诺书.pdf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提供合格有效的法人或者其他组织的营业执照等证明文件，自然人的身份证明；供应商是法人或其他组织的应提供营业执照等证明文件，供应商是自然人的应提供有效的自然人身份证明;2.提供2023年度经审计的财务报告（包括“四表一注”即《资产负债表》《利润表》《现金流量表》《所有者权益变动表》《附注》和会计师事务所营业执照，报告正文应当有会计师事务所公章，2个注册会计师的签字和盖章；成立时间至提交投标文件截止时间不足一年的可提供成立后任意时段的资产负债表）或基本存款账户开户银行出具的资信证明及基本存款账户开户许可证（基本账户信息）或财政部门认可的政府采购专业担保机构出具的投标担保函； 3.提供具有履行合同所必需的设备和专业技术能力的承诺； 4.提供磋商截止日前一年内已缴纳的至少一个月的纳税证明或完税证明，依法免税的单位应提供相关证明材料； 5.提供磋商截止日前一年内已缴存的至少一个月的社会保障资金缴存单据或社保机构开具的社会保险参保缴费情况证明，依法不需要缴纳社会保障资金的单位应提供相关证明材料； 6.参加政府采购活动前3年内，在经营活动中没有重大违法记录的书面声明。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响应函 资格证明文件.pdf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 提供2023年度经审计的财务报告（包括“四表一注”即《资产负债表》《利润表》《现金流量表》《所有者权益变动表》《附注》和会计师事务所营业执照，报告正文应当有会计师事务所公章，2个注册会计师的签字和盖章；成立时间至提交投标文件截止时间不足一年的可提供成立后任意时段的资产负债表）或基本存款账户开户银行出具的资信证明及基本存款账户开户许可证（基本账户信息）或财政部门认可的政府采购专业担保机构出具的投标担保函；</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供应商承诺书.pdf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法定代表人授权书（附法定代表人、被授权人身份证复印件）；法定代表人直接参加磋商，须提供法定代表人身份证明</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重大税收违法失信主体；未被“中国执行信息公开网”网站（https://zxgk.court.gov.cn/）列入失信被执行人；未被中国政府采购网（www.ccgp.gov.cn）列入政府采购严重违法失信行为记录名单；（资格审查环节查询相关信用记录，对列入失信被执行人、重大税收违法失信主体、政府采购严重违法失信行为记录名单及其他不符合《中华人民共和国政府采购法》第二十二条规定的供应商，采购代理机构将拒绝其参与政府采购活动，查询结果以电子或纸质方式留存）</w:t>
            </w:r>
          </w:p>
        </w:tc>
        <w:tc>
          <w:tcPr>
            <w:tcW w:type="dxa" w:w="1661"/>
          </w:tcPr>
          <w:p>
            <w:pPr>
              <w:pStyle w:val="null3"/>
            </w:pPr>
            <w:r>
              <w:rPr>
                <w:rFonts w:ascii="仿宋_GB2312" w:hAnsi="仿宋_GB2312" w:cs="仿宋_GB2312" w:eastAsia="仿宋_GB2312"/>
              </w:rPr>
              <w:t>资格证明文件.pdf</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法定代表人授权书（附法定代表人、被授权人身份证复印件）；法定代表人直接参加磋商，须提供法定代表人身份证明；</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重大税收违法失信主体；未被“中国执行信息公开网”网站（https://zxgk.court.gov.cn/）列入失信被执行人；未被中国政府采购网（www.ccgp.gov.cn）列入政府采购严重违法失信行为记录名单；（资格审查环节查询相关信用记录，对列入失信被执行人、重大税收违法失信主体、政府采购严重违法失信行为记录名单及其他不符合《中华人民共和国政府采购法》第二十二条规定的供应商，采购代理机构将拒绝其参与政府采购活动，查询结果以电子或纸质方式留存）</w:t>
            </w:r>
          </w:p>
        </w:tc>
        <w:tc>
          <w:tcPr>
            <w:tcW w:type="dxa" w:w="1661"/>
          </w:tcPr>
          <w:p>
            <w:pPr>
              <w:pStyle w:val="null3"/>
            </w:pPr>
            <w:r>
              <w:rPr>
                <w:rFonts w:ascii="仿宋_GB2312" w:hAnsi="仿宋_GB2312" w:cs="仿宋_GB2312" w:eastAsia="仿宋_GB2312"/>
              </w:rPr>
              <w:t>资格证明文件.pdf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法定代表人或被授权人的签字齐全并加盖公章</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符合“磋商响应文件格式”的规定</w:t>
            </w:r>
          </w:p>
        </w:tc>
        <w:tc>
          <w:tcPr>
            <w:tcW w:type="dxa" w:w="1661"/>
          </w:tcPr>
          <w:p>
            <w:pPr>
              <w:pStyle w:val="null3"/>
            </w:pPr>
            <w:r>
              <w:rPr>
                <w:rFonts w:ascii="仿宋_GB2312" w:hAnsi="仿宋_GB2312" w:cs="仿宋_GB2312" w:eastAsia="仿宋_GB2312"/>
              </w:rPr>
              <w:t>响应文件封面 磋商方案说明书.pdf 中小企业声明函 残疾人福利性单位声明函 标的清单 供应商承诺书.pdf 响应函 商务及技术、服务响应偏离表.pdf 资格证明文件.pdf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对竞争性磋商文件响应程度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响应文件封面 商务及技术、服务响应偏离表.pdf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法定代表人或被授权人的签字齐全并加盖公章</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符合“磋商响应文件格式”的规定</w:t>
            </w:r>
          </w:p>
        </w:tc>
        <w:tc>
          <w:tcPr>
            <w:tcW w:type="dxa" w:w="1661"/>
          </w:tcPr>
          <w:p>
            <w:pPr>
              <w:pStyle w:val="null3"/>
            </w:pPr>
            <w:r>
              <w:rPr>
                <w:rFonts w:ascii="仿宋_GB2312" w:hAnsi="仿宋_GB2312" w:cs="仿宋_GB2312" w:eastAsia="仿宋_GB2312"/>
              </w:rPr>
              <w:t>响应文件封面 磋商方案说明书.pdf 中小企业声明函 残疾人福利性单位声明函 标的清单 报价表 供应商承诺书.pdf 响应函 商务及技术、服务响应偏离表.pdf 资格证明文件.pdf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对竞争性磋商文件响应程度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响应文件封面 商务及技术、服务响应偏离表.pdf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pPr>
      <w:r>
        <w:rPr>
          <w:rFonts w:ascii="仿宋_GB2312" w:hAnsi="仿宋_GB2312" w:cs="仿宋_GB2312" w:eastAsia="仿宋_GB2312"/>
        </w:rPr>
        <w:t>采购包2：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对项目的理解及需求分析</w:t>
            </w:r>
          </w:p>
        </w:tc>
        <w:tc>
          <w:tcPr>
            <w:tcW w:type="dxa" w:w="2492"/>
          </w:tcPr>
          <w:p>
            <w:pPr>
              <w:pStyle w:val="null3"/>
            </w:pPr>
            <w:r>
              <w:rPr>
                <w:rFonts w:ascii="仿宋_GB2312" w:hAnsi="仿宋_GB2312" w:cs="仿宋_GB2312" w:eastAsia="仿宋_GB2312"/>
              </w:rPr>
              <w:t>包括但不限于供应商对本项目背景和现状的了解，对项目需求的重点和难点的分析进行评审： A.对项目的背景和现状理解深入透彻，能够准确把握项目的目标，了解项目中的难点和重点问题，并且有针对性的对策，非常熟悉项目实施区域情况，得10分； B.对项目的背景和现状理解比较透彻，能够较准确把握项目的目标，较好了解项目中的难点和重点问题，并且有相应的对策，比较熟悉项目实施区域情况，得7分； C.对项目的背景和现状理解基本正确，基本把握项目的目标，对项目中的难点和重点问题有基本的了解，提供的对策可行性一般，不太熟悉项目实施区域情况，得4分； D.对项目的背景和现状理解不够，对项目的目标把握不足，对项目中的难点和重点问题了解不够，提供的对策不健全，不熟悉项目实施区域情况，得2分； 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磋商方案说明书.pdf</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根据供应商提供的实施方案，包括但不限于 ①案卷抽取整理阶段、②办案质量分析阶段、③办案质量评估阶段、④针对一般行政处罚类和配套办法类案卷的工作建议、⑤质量分析报告编制阶段。 A.方案描述严谨、完整，科学合理，可行性高，完全满足项目采购需求，每项得6分； B.方案描述较完整，较合理可行，满足项目采购需求，每项得4分； C..方案清晰、但不够完整，合理性、可行性欠缺，基本满足项目采购需求，每项得2分； D.未提供不得分。 本项最高得30分。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磋商方案说明书.pdf</w:t>
            </w:r>
          </w:p>
        </w:tc>
      </w:tr>
      <w:tr>
        <w:tc>
          <w:tcPr>
            <w:tcW w:type="dxa" w:w="831"/>
            <w:vMerge/>
          </w:tcPr>
          <w:p/>
        </w:tc>
        <w:tc>
          <w:tcPr>
            <w:tcW w:type="dxa" w:w="1661"/>
          </w:tcPr>
          <w:p>
            <w:pPr>
              <w:pStyle w:val="null3"/>
            </w:pPr>
            <w:r>
              <w:rPr>
                <w:rFonts w:ascii="仿宋_GB2312" w:hAnsi="仿宋_GB2312" w:cs="仿宋_GB2312" w:eastAsia="仿宋_GB2312"/>
              </w:rPr>
              <w:t>人员配备方案</w:t>
            </w:r>
          </w:p>
        </w:tc>
        <w:tc>
          <w:tcPr>
            <w:tcW w:type="dxa" w:w="2492"/>
          </w:tcPr>
          <w:p>
            <w:pPr>
              <w:pStyle w:val="null3"/>
            </w:pPr>
            <w:r>
              <w:rPr>
                <w:rFonts w:ascii="仿宋_GB2312" w:hAnsi="仿宋_GB2312" w:cs="仿宋_GB2312" w:eastAsia="仿宋_GB2312"/>
              </w:rPr>
              <w:t>1.拟派项目负责人具备相关专业中级职称，得2分；具备相关专业高级职称，得4分。（需提供加盖供应商公章的职称证书复印件） 2.项目团队（含项目负责人）成员人数4人得4分，在此基础上每增加1人加1分，提供完整的人员配置清单（清单内容包含：具体人员姓名、年龄、工作年限、资格证书或职称证书、项目经验（需提供相关证明材料，包含但不限于合同复印件或成果文件复印件或其他证明材料）），本项最高得6分，不提供或缺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磋商方案说明书.pdf</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具有健全的质量保证措施，措施内容包含①质量控制制度②质量控制程序。 保证措施内容全面详细、阐述条理清晰详尽、符合本项目采购需求得6分；以上分项每缺少一项内容扣3分；有某一项不完整或不符合实际要求或不满足实施要求或套用其他项目内容的每项得1分；未提供不得分。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磋商方案说明书.pdf</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供应商具有良好的管理制度，内容包括：①项目管理制度：具有项目管理的组织机构、项目成果管理、监督机制②人员管理制度：具有员工日常管理办法、奖惩措施。管理制度内容全面详细、阐述条理清晰详尽、符合本项目采购需求得6分；以上分项每缺少一项内容扣3分；有某一项不完整或不符合实际要求或不满足实施要求或套用其他项目内容的每项得1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磋商方案说明书.pdf</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供应商具有完善的保密措施，从管理、人员、技术等各个方面，全面能够保证采购人数据及相关信息不泄密，并提供保密承诺书。 A.保密措施完善，能够保证采购人数据及相关信息不泄露，保密承诺书内容全面，得6分； B.保密措施较完善，基本能够保证采购人数据及相关信息不泄露，保密承诺书内容较全面，得4分； C.保密措施、保密承诺书内容简单笼统，无针对性，得2分；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磋商方案说明书.pdf</w:t>
            </w:r>
          </w:p>
        </w:tc>
      </w:tr>
      <w:tr>
        <w:tc>
          <w:tcPr>
            <w:tcW w:type="dxa" w:w="831"/>
            <w:vMerge/>
          </w:tcPr>
          <w:p/>
        </w:tc>
        <w:tc>
          <w:tcPr>
            <w:tcW w:type="dxa" w:w="1661"/>
          </w:tcPr>
          <w:p>
            <w:pPr>
              <w:pStyle w:val="null3"/>
            </w:pPr>
            <w:r>
              <w:rPr>
                <w:rFonts w:ascii="仿宋_GB2312" w:hAnsi="仿宋_GB2312" w:cs="仿宋_GB2312" w:eastAsia="仿宋_GB2312"/>
              </w:rPr>
              <w:t>进度保障方案</w:t>
            </w:r>
          </w:p>
        </w:tc>
        <w:tc>
          <w:tcPr>
            <w:tcW w:type="dxa" w:w="2492"/>
          </w:tcPr>
          <w:p>
            <w:pPr>
              <w:pStyle w:val="null3"/>
            </w:pPr>
            <w:r>
              <w:rPr>
                <w:rFonts w:ascii="仿宋_GB2312" w:hAnsi="仿宋_GB2312" w:cs="仿宋_GB2312" w:eastAsia="仿宋_GB2312"/>
              </w:rPr>
              <w:t>A.工作计划及进度清晰完善，进度安排合理明确，操作性强，得6分； B.工作计划及进度基本完善，进度安排有一定的实施性，操作性，得4分； C.工作计划及进度简单笼统，无针对性，得2分； D.未提供不得分。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磋商方案说明书.pdf</w:t>
            </w:r>
          </w:p>
        </w:tc>
      </w:tr>
      <w:tr>
        <w:tc>
          <w:tcPr>
            <w:tcW w:type="dxa" w:w="831"/>
            <w:vMerge/>
          </w:tcPr>
          <w:p/>
        </w:tc>
        <w:tc>
          <w:tcPr>
            <w:tcW w:type="dxa" w:w="1661"/>
          </w:tcPr>
          <w:p>
            <w:pPr>
              <w:pStyle w:val="null3"/>
            </w:pPr>
            <w:r>
              <w:rPr>
                <w:rFonts w:ascii="仿宋_GB2312" w:hAnsi="仿宋_GB2312" w:cs="仿宋_GB2312" w:eastAsia="仿宋_GB2312"/>
              </w:rPr>
              <w:t>突发事件应急预案</w:t>
            </w:r>
          </w:p>
        </w:tc>
        <w:tc>
          <w:tcPr>
            <w:tcW w:type="dxa" w:w="2492"/>
          </w:tcPr>
          <w:p>
            <w:pPr>
              <w:pStyle w:val="null3"/>
            </w:pPr>
            <w:r>
              <w:rPr>
                <w:rFonts w:ascii="仿宋_GB2312" w:hAnsi="仿宋_GB2312" w:cs="仿宋_GB2312" w:eastAsia="仿宋_GB2312"/>
              </w:rPr>
              <w:t>A.方案详细完整，合理可行；保证措施针对性及可行性强，得6分； B.方案较详细，基本可行；保证措施有一定的针对性和可行性，得4分； C.方案内容简单笼统；保证措施空泛无针对性，得2分；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提供供应商2022年5月至投标截止日类似项目业绩，每提供1份得2分，最高得10分。业绩证明（以合同签订时间为准，须附合同扫描件加盖单位公章）弄虚作假者，取消其中标资格。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对符合政策性扣减的供应商的有效投标价格进行政策性扣减，并依据扣减后的价格（评审价格）进行价格评审。2、满足磋商文件实质性要求且最终报价最低的供应商的价格为磋商基准价，其价格分为满分10分。3、磋商报价得分=（磋商基准价/最终磋商报价）×10。4、磋商报价不完整的，不进入磋商基准价的计算，本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商务及技术、服务响应偏离表.pdf</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 残疾人福利性单位声明函 标的清单 报价表 响应函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对项目的理解及需求分析</w:t>
            </w:r>
          </w:p>
        </w:tc>
        <w:tc>
          <w:tcPr>
            <w:tcW w:type="dxa" w:w="2492"/>
          </w:tcPr>
          <w:p>
            <w:pPr>
              <w:pStyle w:val="null3"/>
            </w:pPr>
            <w:r>
              <w:rPr>
                <w:rFonts w:ascii="仿宋_GB2312" w:hAnsi="仿宋_GB2312" w:cs="仿宋_GB2312" w:eastAsia="仿宋_GB2312"/>
              </w:rPr>
              <w:t>包括但不限于供应商对本项目背景和现状的了解，对项目需求的重点和难点的分析进行评审： A.对项目的背景和现状理解深入透彻，能够准确把握项目的目标，了解项目中的难点和重点问题，并且有针对性的对策，非常熟悉项目实施区域情况，得10分； B.对项目的背景和现状理解比较透彻，能够较准确把握项目的目标，较好了解项目中的难点和重点问题，并且有相应的对策，比较熟悉项目实施区域情况，得7分； C.对项目的背景和现状理解基本正确，基本把握项目的目标，对项目中的难点和重点问题有基本的了解，提供的对策可行性一般，不太熟悉项目实施区域情况，得4分； D.对项目的背景和现状理解不够，对项目的目标把握不足，对项目中的难点和重点问题了解不够，提供的对策不健全，不熟悉项目实施区域情况，得2分； 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磋商方案说明书.pdf</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1.根据供应商提供的生态环境执法大练兵实施方案，包括但不限于①动员部署会、②技能比武、③推进会 A.方案描述严谨、完整，科学合理，可行性高，完全满足项目采购需求，每项得8分； B.方案描述较完整，较合理可行，满足项目采购需求，每项得6分； C.方案清晰、但不够完整，合理性、可行性欠缺，基本满足项目采购需求，每项得3分； D.未提供不得分。 本项最高得24分。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磋商方案说明书.pdf</w:t>
            </w:r>
          </w:p>
        </w:tc>
      </w:tr>
      <w:tr>
        <w:tc>
          <w:tcPr>
            <w:tcW w:type="dxa" w:w="831"/>
            <w:vMerge/>
          </w:tcPr>
          <w:p/>
        </w:tc>
        <w:tc>
          <w:tcPr>
            <w:tcW w:type="dxa" w:w="1661"/>
          </w:tcPr>
          <w:p>
            <w:pPr>
              <w:pStyle w:val="null3"/>
            </w:pPr>
            <w:r>
              <w:rPr>
                <w:rFonts w:ascii="仿宋_GB2312" w:hAnsi="仿宋_GB2312" w:cs="仿宋_GB2312" w:eastAsia="仿宋_GB2312"/>
              </w:rPr>
              <w:t>人员配备方案</w:t>
            </w:r>
          </w:p>
        </w:tc>
        <w:tc>
          <w:tcPr>
            <w:tcW w:type="dxa" w:w="2492"/>
          </w:tcPr>
          <w:p>
            <w:pPr>
              <w:pStyle w:val="null3"/>
            </w:pPr>
            <w:r>
              <w:rPr>
                <w:rFonts w:ascii="仿宋_GB2312" w:hAnsi="仿宋_GB2312" w:cs="仿宋_GB2312" w:eastAsia="仿宋_GB2312"/>
              </w:rPr>
              <w:t>1.拟派项目负责人具备相关专业中级职称，得3分；具备相关专业高级职称，得5分（需提供加盖供应商公章的职称证书复印件）。 2.项目团队中接待人员、技术支持人员、记录人员、后勤保障人员配备情况，提供完整的人员配置清单（清单内容包含：具体人员姓名、年龄、工作年限、项目经验（需提供相关证明材料，包含但不限于合同复印件或成果文件复印件或其他证明材料））得5分，不提供或缺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磋商方案说明书.pdf</w:t>
            </w:r>
          </w:p>
        </w:tc>
      </w:tr>
      <w:tr>
        <w:tc>
          <w:tcPr>
            <w:tcW w:type="dxa" w:w="831"/>
            <w:vMerge/>
          </w:tcPr>
          <w:p/>
        </w:tc>
        <w:tc>
          <w:tcPr>
            <w:tcW w:type="dxa" w:w="1661"/>
          </w:tcPr>
          <w:p>
            <w:pPr>
              <w:pStyle w:val="null3"/>
            </w:pPr>
            <w:r>
              <w:rPr>
                <w:rFonts w:ascii="仿宋_GB2312" w:hAnsi="仿宋_GB2312" w:cs="仿宋_GB2312" w:eastAsia="仿宋_GB2312"/>
              </w:rPr>
              <w:t>成果交付保证措施</w:t>
            </w:r>
          </w:p>
        </w:tc>
        <w:tc>
          <w:tcPr>
            <w:tcW w:type="dxa" w:w="2492"/>
          </w:tcPr>
          <w:p>
            <w:pPr>
              <w:pStyle w:val="null3"/>
            </w:pPr>
            <w:r>
              <w:rPr>
                <w:rFonts w:ascii="仿宋_GB2312" w:hAnsi="仿宋_GB2312" w:cs="仿宋_GB2312" w:eastAsia="仿宋_GB2312"/>
              </w:rPr>
              <w:t>针对本项目制定详细的生态环境执法大练兵成果交付保证措施， A.保证措施内容全面详细、阐述条理清晰详尽、符合本项目采购需求得12分； B.保证措施内容较详细、阐述条理较清晰、较符合本项目采购需求得8分； C.保证措施内容简单笼统，条理基本清晰、基本符合本项目采购需求得4分； 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磋商方案说明书.pdf</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针对本项目具有良好的管理制度，内容包括：①岗位制度：具有岗位职责、服务质量标准、岗位制度、作业流程②内控制度：具有管理组织机构、内部管理制度、监督机制③人员管理制度：具有员工日常管理办法、请销假制度、奖惩措施、仪容仪表制度。 A.管理制度内容全面详细、阐述条理清晰详尽、符合本项目采购需求得9分；以上分项每缺少一项内容扣3分；有某一项不完整或不符合实际要求或不满足实施要求的每项得1分；未提供不得分。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磋商方案说明书.pdf</w:t>
            </w:r>
          </w:p>
        </w:tc>
      </w:tr>
      <w:tr>
        <w:tc>
          <w:tcPr>
            <w:tcW w:type="dxa" w:w="831"/>
            <w:vMerge/>
          </w:tcPr>
          <w:p/>
        </w:tc>
        <w:tc>
          <w:tcPr>
            <w:tcW w:type="dxa" w:w="1661"/>
          </w:tcPr>
          <w:p>
            <w:pPr>
              <w:pStyle w:val="null3"/>
            </w:pPr>
            <w:r>
              <w:rPr>
                <w:rFonts w:ascii="仿宋_GB2312" w:hAnsi="仿宋_GB2312" w:cs="仿宋_GB2312" w:eastAsia="仿宋_GB2312"/>
              </w:rPr>
              <w:t>保密制度</w:t>
            </w:r>
          </w:p>
        </w:tc>
        <w:tc>
          <w:tcPr>
            <w:tcW w:type="dxa" w:w="2492"/>
          </w:tcPr>
          <w:p>
            <w:pPr>
              <w:pStyle w:val="null3"/>
            </w:pPr>
            <w:r>
              <w:rPr>
                <w:rFonts w:ascii="仿宋_GB2312" w:hAnsi="仿宋_GB2312" w:cs="仿宋_GB2312" w:eastAsia="仿宋_GB2312"/>
              </w:rPr>
              <w:t>供应商具有完善的保密制度和保密措施，从管理、人员、技术等各个方面，全面能够保证采购人数据及相关信息不泄密，并提供保密承诺书。 A.保密制度和保密措施完善，能够保证采购人数据及相关信息不泄露，保密承诺书内容全面，得6分； B..保密制度和保密措施较完善，基本能够保证采购人数据及相关信息不泄露，保密承诺书内容较全面，得4分； C.保密制度、保密措施、保密承诺书内容简单笼统，无针对性，得2分；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磋商方案说明书.pdf</w:t>
            </w:r>
          </w:p>
        </w:tc>
      </w:tr>
      <w:tr>
        <w:tc>
          <w:tcPr>
            <w:tcW w:type="dxa" w:w="831"/>
            <w:vMerge/>
          </w:tcPr>
          <w:p/>
        </w:tc>
        <w:tc>
          <w:tcPr>
            <w:tcW w:type="dxa" w:w="1661"/>
          </w:tcPr>
          <w:p>
            <w:pPr>
              <w:pStyle w:val="null3"/>
            </w:pPr>
            <w:r>
              <w:rPr>
                <w:rFonts w:ascii="仿宋_GB2312" w:hAnsi="仿宋_GB2312" w:cs="仿宋_GB2312" w:eastAsia="仿宋_GB2312"/>
              </w:rPr>
              <w:t>进度保障方案</w:t>
            </w:r>
          </w:p>
        </w:tc>
        <w:tc>
          <w:tcPr>
            <w:tcW w:type="dxa" w:w="2492"/>
          </w:tcPr>
          <w:p>
            <w:pPr>
              <w:pStyle w:val="null3"/>
            </w:pPr>
            <w:r>
              <w:rPr>
                <w:rFonts w:ascii="仿宋_GB2312" w:hAnsi="仿宋_GB2312" w:cs="仿宋_GB2312" w:eastAsia="仿宋_GB2312"/>
              </w:rPr>
              <w:t>A.工作计划及进度清晰完善，进度安排合理明确，操作性强，得6分； B.工作计划及进度基本完善，进度安排有一定的实施性，操作性，得4分； 工作计划及进度简单笼统，无针对性，得2分； D.未提供不得分。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磋商方案说明书.pdf</w:t>
            </w:r>
          </w:p>
        </w:tc>
      </w:tr>
      <w:tr>
        <w:tc>
          <w:tcPr>
            <w:tcW w:type="dxa" w:w="831"/>
            <w:vMerge/>
          </w:tcPr>
          <w:p/>
        </w:tc>
        <w:tc>
          <w:tcPr>
            <w:tcW w:type="dxa" w:w="1661"/>
          </w:tcPr>
          <w:p>
            <w:pPr>
              <w:pStyle w:val="null3"/>
            </w:pPr>
            <w:r>
              <w:rPr>
                <w:rFonts w:ascii="仿宋_GB2312" w:hAnsi="仿宋_GB2312" w:cs="仿宋_GB2312" w:eastAsia="仿宋_GB2312"/>
              </w:rPr>
              <w:t>突发事件应急预案</w:t>
            </w:r>
          </w:p>
        </w:tc>
        <w:tc>
          <w:tcPr>
            <w:tcW w:type="dxa" w:w="2492"/>
          </w:tcPr>
          <w:p>
            <w:pPr>
              <w:pStyle w:val="null3"/>
            </w:pPr>
            <w:r>
              <w:rPr>
                <w:rFonts w:ascii="仿宋_GB2312" w:hAnsi="仿宋_GB2312" w:cs="仿宋_GB2312" w:eastAsia="仿宋_GB2312"/>
              </w:rPr>
              <w:t>A.方案详细完整，合理可行；保证措施针对性及可行性强，得3分； B.方案较详细，基本可行；保证措施有一定的针对性和可行性，得2分； 方案内容简单笼统；保证措施空泛无针对性，得1分；D.未提供不得分。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提供供应商2022年5月至投标截止日类似项目业绩，每提供1份得2分，最高得10分。 业绩证明（以合同复印件或中标通知书复印件或其他证明材料为准，提供合同的以合同签订时间为准，提供中标通知书的以中标通知书落款时间为准，提供其他证明材料的以其他证明材料落款时间为准）弄虚作假者，取消其中标资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2、满足磋商文件实质性要求且最终报价最低的供应商的价格为磋商基准价，其价格分为满分10分。3、磋商报价得分=（磋商基准价/最终磋商报价）×10。4、磋商报价不完整的，不进入磋商基准价的计算，本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商务及技术、服务响应偏离表.pdf</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详见附件：商务及技术、服务响应偏离表.pdf</w:t>
      </w:r>
    </w:p>
    <w:p>
      <w:pPr>
        <w:pStyle w:val="null3"/>
        <w:ind w:firstLine="960"/>
      </w:pPr>
      <w:r>
        <w:rPr>
          <w:rFonts w:ascii="仿宋_GB2312" w:hAnsi="仿宋_GB2312" w:cs="仿宋_GB2312" w:eastAsia="仿宋_GB2312"/>
        </w:rPr>
        <w:t>详见附件：资格证明文件.pdf</w:t>
      </w:r>
    </w:p>
    <w:p>
      <w:pPr>
        <w:pStyle w:val="null3"/>
        <w:ind w:firstLine="960"/>
      </w:pPr>
      <w:r>
        <w:rPr>
          <w:rFonts w:ascii="仿宋_GB2312" w:hAnsi="仿宋_GB2312" w:cs="仿宋_GB2312" w:eastAsia="仿宋_GB2312"/>
        </w:rPr>
        <w:t>详见附件：磋商方案说明书.pdf</w:t>
      </w:r>
    </w:p>
    <w:p>
      <w:pPr>
        <w:pStyle w:val="null3"/>
        <w:ind w:firstLine="960"/>
      </w:pPr>
      <w:r>
        <w:rPr>
          <w:rFonts w:ascii="仿宋_GB2312" w:hAnsi="仿宋_GB2312" w:cs="仿宋_GB2312" w:eastAsia="仿宋_GB2312"/>
        </w:rPr>
        <w:t>详见附件：供应商承诺书.pdf</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详见附件：商务及技术、服务响应偏离表.pdf</w:t>
      </w:r>
    </w:p>
    <w:p>
      <w:pPr>
        <w:pStyle w:val="null3"/>
        <w:ind w:firstLine="960"/>
      </w:pPr>
      <w:r>
        <w:rPr>
          <w:rFonts w:ascii="仿宋_GB2312" w:hAnsi="仿宋_GB2312" w:cs="仿宋_GB2312" w:eastAsia="仿宋_GB2312"/>
        </w:rPr>
        <w:t>详见附件：资格证明文件.pdf</w:t>
      </w:r>
    </w:p>
    <w:p>
      <w:pPr>
        <w:pStyle w:val="null3"/>
        <w:ind w:firstLine="960"/>
      </w:pPr>
      <w:r>
        <w:rPr>
          <w:rFonts w:ascii="仿宋_GB2312" w:hAnsi="仿宋_GB2312" w:cs="仿宋_GB2312" w:eastAsia="仿宋_GB2312"/>
        </w:rPr>
        <w:t>详见附件：磋商方案说明书.pdf</w:t>
      </w:r>
    </w:p>
    <w:p>
      <w:pPr>
        <w:pStyle w:val="null3"/>
        <w:ind w:firstLine="960"/>
      </w:pPr>
      <w:r>
        <w:rPr>
          <w:rFonts w:ascii="仿宋_GB2312" w:hAnsi="仿宋_GB2312" w:cs="仿宋_GB2312" w:eastAsia="仿宋_GB2312"/>
        </w:rPr>
        <w:t>详见附件：供应商承诺书.pdf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详见附件：采购包1、2-合同.docx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